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5E" w:rsidRPr="00647C5E" w:rsidRDefault="00647C5E" w:rsidP="00647C5E">
      <w:pPr>
        <w:keepNext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647C5E">
        <w:rPr>
          <w:rFonts w:ascii="Arial Narrow" w:hAnsi="Arial Narrow"/>
          <w:b/>
          <w:sz w:val="20"/>
          <w:szCs w:val="20"/>
        </w:rPr>
        <w:t>ZESTAWIENIE PARAMETRÓW  I WARUNKÓW  WYMAGANYCH</w:t>
      </w:r>
    </w:p>
    <w:p w:rsidR="00647C5E" w:rsidRPr="00647C5E" w:rsidRDefault="00647C5E" w:rsidP="00647C5E">
      <w:pPr>
        <w:suppressAutoHyphens/>
        <w:rPr>
          <w:rFonts w:ascii="Arial Narrow" w:hAnsi="Arial Narrow"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proofErr w:type="spellStart"/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Lp</w:t>
      </w:r>
      <w:proofErr w:type="spellEnd"/>
      <w:r w:rsidR="00D120BB">
        <w:rPr>
          <w:rFonts w:ascii="Arial Narrow" w:eastAsia="ArialMT" w:hAnsi="Arial Narrow"/>
          <w:b/>
          <w:bCs/>
          <w:sz w:val="20"/>
          <w:szCs w:val="20"/>
          <w:lang w:eastAsia="ar-SA"/>
        </w:rPr>
        <w:t>: 2</w:t>
      </w: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Numer pakietu</w:t>
      </w:r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: 1</w:t>
      </w: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Nazwa: A</w:t>
      </w:r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parat do ciągłej tera</w:t>
      </w:r>
      <w:r w:rsidR="00D120BB">
        <w:rPr>
          <w:rFonts w:ascii="Arial Narrow" w:eastAsia="ArialMT" w:hAnsi="Arial Narrow"/>
          <w:b/>
          <w:bCs/>
          <w:sz w:val="20"/>
          <w:szCs w:val="20"/>
          <w:lang w:eastAsia="ar-SA"/>
        </w:rPr>
        <w:t>pii nerkozastępczej</w:t>
      </w:r>
      <w:r w:rsidR="00DA7A25">
        <w:rPr>
          <w:rFonts w:ascii="Arial Narrow" w:eastAsia="ArialMT" w:hAnsi="Arial Narrow"/>
          <w:b/>
          <w:bCs/>
          <w:sz w:val="20"/>
          <w:szCs w:val="20"/>
          <w:lang w:eastAsia="ar-SA"/>
        </w:rPr>
        <w:t xml:space="preserve"> </w:t>
      </w:r>
      <w:bookmarkStart w:id="0" w:name="_GoBack"/>
      <w:bookmarkEnd w:id="0"/>
    </w:p>
    <w:p w:rsidR="00647C5E" w:rsidRPr="00647C5E" w:rsidRDefault="00CC336E" w:rsidP="00647C5E">
      <w:pPr>
        <w:suppressAutoHyphens/>
        <w:spacing w:before="240" w:after="60"/>
        <w:outlineLvl w:val="7"/>
        <w:rPr>
          <w:rFonts w:ascii="Arial Narrow" w:hAnsi="Arial Narrow"/>
          <w:b/>
          <w:iCs/>
          <w:sz w:val="20"/>
          <w:szCs w:val="20"/>
          <w:lang w:eastAsia="ar-SA"/>
        </w:rPr>
      </w:pPr>
      <w:r>
        <w:rPr>
          <w:rFonts w:ascii="Arial Narrow" w:hAnsi="Arial Narrow"/>
          <w:b/>
          <w:iCs/>
          <w:sz w:val="20"/>
          <w:szCs w:val="20"/>
          <w:lang w:eastAsia="ar-SA"/>
        </w:rPr>
        <w:t>Ilość: 2</w:t>
      </w:r>
      <w:r w:rsidR="00647C5E" w:rsidRPr="00647C5E">
        <w:rPr>
          <w:rFonts w:ascii="Arial Narrow" w:hAnsi="Arial Narrow"/>
          <w:b/>
          <w:iCs/>
          <w:sz w:val="20"/>
          <w:szCs w:val="20"/>
          <w:lang w:eastAsia="ar-SA"/>
        </w:rPr>
        <w:t xml:space="preserve"> szt.</w:t>
      </w:r>
    </w:p>
    <w:p w:rsidR="00647C5E" w:rsidRPr="00647C5E" w:rsidRDefault="00647C5E" w:rsidP="00647C5E">
      <w:pPr>
        <w:suppressAutoHyphens/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ar-SA"/>
        </w:rPr>
      </w:pP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 producenta: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>.......................................................</w:t>
      </w: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</w:t>
      </w:r>
      <w:r w:rsidRPr="00647C5E">
        <w:rPr>
          <w:rFonts w:ascii="Arial Narrow" w:hAnsi="Arial Narrow"/>
          <w:sz w:val="20"/>
          <w:szCs w:val="20"/>
          <w:lang w:eastAsia="en-US"/>
        </w:rPr>
        <w:t xml:space="preserve"> i typ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>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 xml:space="preserve">         .......................................................</w:t>
      </w:r>
    </w:p>
    <w:tbl>
      <w:tblPr>
        <w:tblpPr w:leftFromText="141" w:rightFromText="141" w:vertAnchor="page" w:horzAnchor="margin" w:tblpY="5041"/>
        <w:tblW w:w="9000" w:type="dxa"/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3222"/>
      </w:tblGrid>
      <w:tr w:rsidR="00CC336E" w:rsidRPr="00647C5E" w:rsidTr="00CC336E">
        <w:trPr>
          <w:cantSplit/>
          <w:trHeight w:val="6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336E" w:rsidRPr="00E129AC" w:rsidRDefault="00CC336E" w:rsidP="00CC336E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129A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C336E" w:rsidRPr="00E129AC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29A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E129AC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4F335D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Wartość oferowana</w:t>
            </w: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keepNext/>
              <w:tabs>
                <w:tab w:val="left" w:pos="283"/>
              </w:tabs>
              <w:suppressAutoHyphens/>
              <w:snapToGrid w:val="0"/>
              <w:outlineLvl w:val="1"/>
              <w:rPr>
                <w:rFonts w:ascii="Arial Narrow" w:hAnsi="Arial Narrow"/>
                <w:bCs/>
                <w:iCs/>
                <w:sz w:val="20"/>
                <w:szCs w:val="18"/>
              </w:rPr>
            </w:pPr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Możliwość wykonywania heparynowych zabiegów CVVHD, CVVH, CVVHDF z </w:t>
            </w:r>
            <w:proofErr w:type="spellStart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pre</w:t>
            </w:r>
            <w:proofErr w:type="spellEnd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- lub </w:t>
            </w:r>
            <w:proofErr w:type="spellStart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postdylucją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keepNext/>
              <w:tabs>
                <w:tab w:val="left" w:pos="283"/>
              </w:tabs>
              <w:suppressAutoHyphens/>
              <w:snapToGrid w:val="0"/>
              <w:outlineLvl w:val="1"/>
              <w:rPr>
                <w:rFonts w:ascii="Arial Narrow" w:hAnsi="Arial Narrow"/>
                <w:bCs/>
                <w:iCs/>
                <w:sz w:val="20"/>
                <w:szCs w:val="18"/>
              </w:rPr>
            </w:pPr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Możliwość wykonywania cytrynianowych zabiegów CVVHD, CVVHDF z </w:t>
            </w:r>
            <w:proofErr w:type="spellStart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postdylucją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keepNext/>
              <w:tabs>
                <w:tab w:val="left" w:pos="283"/>
              </w:tabs>
              <w:suppressAutoHyphens/>
              <w:snapToGrid w:val="0"/>
              <w:outlineLvl w:val="1"/>
              <w:rPr>
                <w:rFonts w:ascii="Arial Narrow" w:hAnsi="Arial Narrow"/>
                <w:bCs/>
                <w:iCs/>
                <w:sz w:val="20"/>
                <w:szCs w:val="18"/>
              </w:rPr>
            </w:pPr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Możliwość wielokrotnej zamiany </w:t>
            </w:r>
            <w:proofErr w:type="spellStart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antykoagulacji</w:t>
            </w:r>
            <w:proofErr w:type="spellEnd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 cytrynianowej na heparynową w trakcie zabiegu bez konieczności zmiany zestawu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Kasetowy system drenów umożliwiający łatwy i szybki montaż oraz wielokrotną wymianę samego filtra w trakcie zabiegu, bez konieczności wymiany całej kasety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Zintegrowane dreny cytrynianu i wapnia z układem krążenia pozaustrojowego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 xml:space="preserve">Nieprzerwana podaż cytrynianu podczas zmiany worków dializatu, substytutu, filtratu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poboru roztworu dializatu z 4 worków bez dodatkowego łącznika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podłączenia worka/worków na filtrat do 20 L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zmiany i zapamiętania domyślnych parametrów dla każdego rodzaju zabiegu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Dwa indywidualne systemy do podgrzewania roztworów zintegrowane w obudowie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Zakres regulacji temperatury dializatu/substytutu 35 – 39 ºC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wyłączenia ogrzewania roztworów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  <w:trHeight w:val="19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uppressAutoHyphens/>
              <w:rPr>
                <w:rFonts w:ascii="Arial Narrow" w:hAnsi="Arial Narrow"/>
                <w:color w:val="000000"/>
                <w:sz w:val="20"/>
                <w:szCs w:val="18"/>
                <w:lang w:eastAsia="ar-SA"/>
              </w:rPr>
            </w:pPr>
            <w:r w:rsidRPr="00D120BB">
              <w:rPr>
                <w:rFonts w:ascii="Arial Narrow" w:hAnsi="Arial Narrow"/>
                <w:color w:val="000000"/>
                <w:sz w:val="20"/>
                <w:szCs w:val="18"/>
                <w:lang w:eastAsia="ar-SA"/>
              </w:rPr>
              <w:t>Ultrafiltracja netto  0 – 990 ml/godz.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Wydajność pompy krwi 10 – 500 ml/min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color w:val="000000"/>
                <w:sz w:val="20"/>
                <w:szCs w:val="18"/>
              </w:rPr>
              <w:t xml:space="preserve">Zintegrowany, obrotowy uchwyt </w:t>
            </w:r>
            <w:proofErr w:type="spellStart"/>
            <w:r w:rsidRPr="00D120BB">
              <w:rPr>
                <w:rFonts w:ascii="Arial Narrow" w:hAnsi="Arial Narrow"/>
                <w:color w:val="000000"/>
                <w:sz w:val="20"/>
                <w:szCs w:val="18"/>
              </w:rPr>
              <w:t>hemofiltra</w:t>
            </w:r>
            <w:proofErr w:type="spellEnd"/>
            <w:r w:rsidRPr="00D120BB">
              <w:rPr>
                <w:rFonts w:ascii="Arial Narrow" w:hAnsi="Arial Narrow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Komunikacja poprzez obrotowy ekran dotykowy 15”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System pomocy kontekstowej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 regulacji poziomu krwi w jeziorku żylnym z poziomu ekranu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Dwa detektory powietrza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Detektor przecieku krwi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6 pomp perystaltycznych zintegrowanych na płycie czołowej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 xml:space="preserve">Dodatkowa pompa </w:t>
            </w:r>
            <w:proofErr w:type="spellStart"/>
            <w:r w:rsidRPr="00D120BB">
              <w:rPr>
                <w:rFonts w:ascii="Arial Narrow" w:hAnsi="Arial Narrow"/>
                <w:sz w:val="20"/>
                <w:szCs w:val="18"/>
              </w:rPr>
              <w:t>strzykawkowa</w:t>
            </w:r>
            <w:proofErr w:type="spellEnd"/>
            <w:r w:rsidRPr="00D120BB">
              <w:rPr>
                <w:rFonts w:ascii="Arial Narrow" w:hAnsi="Arial Narrow"/>
                <w:sz w:val="20"/>
                <w:szCs w:val="18"/>
              </w:rPr>
              <w:t xml:space="preserve"> z </w:t>
            </w:r>
            <w:r w:rsidRPr="00D120BB">
              <w:rPr>
                <w:rFonts w:ascii="Arial Narrow" w:hAnsi="Arial Narrow"/>
                <w:color w:val="000000"/>
                <w:sz w:val="20"/>
                <w:szCs w:val="18"/>
              </w:rPr>
              <w:t>automatyczną detekcją podłączenia strzykawki 30/50 ml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Pomiar ciśnienia dostępu, filtratu oraz przed filtrem bez kontaktu z powietrzem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AE6C08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uzyskania wstecznego przepływu krwi w celu udrożnienia dostępu naczyniowego bez konieczności rozłączania układu krążenia pozaustrojowego i płukania cewnika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Zasilanie awaryjne zapewniające podtrzymanie krążenia pozaustrojowego przez co najmniej 15 min.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AE6C08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Dwa indywidualne systemy do podgrzewania zintegrowane w obudowie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C08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6C08" w:rsidRPr="00647C5E" w:rsidRDefault="00AE6C08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Default="00AE6C08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Niezależne odpowietrzenie drenów </w:t>
            </w:r>
            <w:proofErr w:type="spellStart"/>
            <w:r>
              <w:rPr>
                <w:rFonts w:ascii="Arial Narrow" w:hAnsi="Arial Narrow"/>
                <w:sz w:val="20"/>
                <w:szCs w:val="18"/>
              </w:rPr>
              <w:t>substytatu</w:t>
            </w:r>
            <w:proofErr w:type="spellEnd"/>
            <w:r>
              <w:rPr>
                <w:rFonts w:ascii="Arial Narrow" w:hAnsi="Arial Narrow"/>
                <w:sz w:val="20"/>
                <w:szCs w:val="18"/>
              </w:rPr>
              <w:t>, dializatu czy filtratu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Pr="00647C5E" w:rsidRDefault="00AE6C08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C08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6C08" w:rsidRPr="00647C5E" w:rsidRDefault="00AE6C08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Default="00AE6C08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System bilansujący grawimetryczny z czterema niezależnymi wagami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Pr="00647C5E" w:rsidRDefault="00AE6C08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Dokładność ważenia na każdej wadze: 1 g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przejścia w czasie zabiegu w „tryb pielęgnacji” z wyłączonym bilansowaniem i zmniejszonym przepływem krwi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Wózek jezdny aparatu na 4 niezależnych kołach, w tym 2 z dwustopniową blokadą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 xml:space="preserve">Dwa uchwyty z przodu i z tyłu aparatu ułatwiające przesuwanie/obracanie urządzenia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color w:val="000000"/>
                <w:sz w:val="20"/>
                <w:szCs w:val="18"/>
              </w:rPr>
              <w:t>Szkolenie personelu w zakresie obsługi i konserwacji aparatu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Instrukcja obsługi w języku polskim (wraz z dostawą urządzenia)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Bezpłatne przeglądy w okresie gwarancji - wg zaleceń producenta (min. co 24 miesiące)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Bezpłatna aktualizacja oprogramowania w trakcie całego okresu eksploatacji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3BB9" w:rsidRDefault="00433BB9">
      <w:pPr>
        <w:rPr>
          <w:rFonts w:ascii="Arial Narrow" w:hAnsi="Arial Narrow"/>
          <w:sz w:val="20"/>
          <w:szCs w:val="20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……………………………………………</w:t>
      </w: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podpis i pieczęć Oferenta</w:t>
      </w:r>
    </w:p>
    <w:p w:rsidR="00647C5E" w:rsidRPr="00647C5E" w:rsidRDefault="00647C5E">
      <w:pPr>
        <w:rPr>
          <w:rFonts w:ascii="Arial Narrow" w:hAnsi="Arial Narrow"/>
          <w:sz w:val="20"/>
          <w:szCs w:val="20"/>
        </w:rPr>
      </w:pPr>
    </w:p>
    <w:sectPr w:rsidR="00647C5E" w:rsidRPr="00647C5E" w:rsidSect="005F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1AF7"/>
    <w:multiLevelType w:val="hybridMultilevel"/>
    <w:tmpl w:val="75386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561"/>
    <w:rsid w:val="00433BB9"/>
    <w:rsid w:val="005F230F"/>
    <w:rsid w:val="00647C5E"/>
    <w:rsid w:val="007D2561"/>
    <w:rsid w:val="00AE6C08"/>
    <w:rsid w:val="00BF5081"/>
    <w:rsid w:val="00CC336E"/>
    <w:rsid w:val="00D120BB"/>
    <w:rsid w:val="00D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D2C1"/>
  <w15:docId w15:val="{F76B4E6E-0FDD-43E0-8FAD-4BC7D930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4</cp:revision>
  <dcterms:created xsi:type="dcterms:W3CDTF">2019-08-27T06:34:00Z</dcterms:created>
  <dcterms:modified xsi:type="dcterms:W3CDTF">2019-09-26T11:10:00Z</dcterms:modified>
</cp:coreProperties>
</file>